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3091"/>
        <w:tblW w:w="10314" w:type="dxa"/>
        <w:tblLook w:val="04A0"/>
      </w:tblPr>
      <w:tblGrid>
        <w:gridCol w:w="1745"/>
        <w:gridCol w:w="1062"/>
        <w:gridCol w:w="1700"/>
        <w:gridCol w:w="1528"/>
        <w:gridCol w:w="1701"/>
        <w:gridCol w:w="2578"/>
      </w:tblGrid>
      <w:tr w:rsidR="00C41974" w:rsidRPr="00AA04D4" w:rsidTr="00AE2FF4">
        <w:trPr>
          <w:trHeight w:val="481"/>
        </w:trPr>
        <w:tc>
          <w:tcPr>
            <w:tcW w:w="1745"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rsidR="00C41974" w:rsidRPr="00AA04D4" w:rsidRDefault="008F1BFB" w:rsidP="00AE2FF4">
            <w:pPr>
              <w:rPr>
                <w:rFonts w:cs="Arial"/>
                <w:b/>
                <w:color w:val="FFFFFF" w:themeColor="background1"/>
              </w:rPr>
            </w:pPr>
            <w:r>
              <w:rPr>
                <w:rFonts w:cs="Arial"/>
                <w:b/>
                <w:noProof/>
                <w:color w:val="FFFFFF" w:themeColor="background1"/>
              </w:rPr>
              <w:pict>
                <v:shapetype id="_x0000_t202" coordsize="21600,21600" o:spt="202" path="m,l,21600r21600,l21600,xe">
                  <v:stroke joinstyle="miter"/>
                  <v:path gradientshapeok="t" o:connecttype="rect"/>
                </v:shapetype>
                <v:shape id="Text Box 2" o:spid="_x0000_s1026" type="#_x0000_t202" style="position:absolute;margin-left:-8.3pt;margin-top:-83.75pt;width:515.85pt;height:66.7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" fillcolor="#f79646 [3209]" strokecolor="#f2f2f2 [3041]" strokeweight="3pt">
                  <v:shadow on="t" color="#974706 [1609]" opacity=".5" offset="1pt"/>
                  <v:textbox style="mso-next-textbox:#Text Box 2">
                    <w:txbxContent>
                      <w:p w:rsidR="0010366E" w:rsidRPr="00AA04D4" w:rsidRDefault="0010366E" w:rsidP="00AE2FF4">
                        <w:pPr>
                          <w:pStyle w:val="Header"/>
                          <w:spacing w:after="60"/>
                          <w:rPr>
                            <w:rFonts w:cs="Arial"/>
                            <w:b/>
                            <w:bCs/>
                            <w:color w:val="FFFFFF" w:themeColor="background1"/>
                            <w:sz w:val="32"/>
                          </w:rPr>
                        </w:pPr>
                        <w:r w:rsidRPr="00AA04D4">
                          <w:rPr>
                            <w:rFonts w:cs="Arial"/>
                            <w:b/>
                            <w:bCs/>
                            <w:color w:val="FFFFFF" w:themeColor="background1"/>
                            <w:sz w:val="32"/>
                          </w:rPr>
                          <w:t>PERI-OPERATIVE ADJUSTMENT OF NON-INSULIN DIABETES MEDICATION (ADVICE FOR HEALTHCARE PROFESSIONALS)</w:t>
                        </w:r>
                      </w:p>
                    </w:txbxContent>
                  </v:textbox>
                </v:shape>
              </w:pict>
            </w:r>
            <w:r w:rsidR="00AE2FF4" w:rsidRPr="00AA04D4">
              <w:rPr>
                <w:rFonts w:cs="Arial"/>
                <w:b/>
                <w:color w:val="FFFFFF" w:themeColor="background1"/>
              </w:rPr>
              <w:t>Medication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rsidR="00C41974" w:rsidRPr="00AA04D4" w:rsidRDefault="00C41974" w:rsidP="00AE2FF4">
            <w:pPr>
              <w:rPr>
                <w:rFonts w:cs="Arial"/>
                <w:b/>
                <w:color w:val="FFFFFF" w:themeColor="background1"/>
              </w:rPr>
            </w:pPr>
            <w:r w:rsidRPr="00AA04D4">
              <w:rPr>
                <w:rFonts w:cs="Arial"/>
                <w:b/>
                <w:color w:val="FFFFFF" w:themeColor="background1"/>
              </w:rPr>
              <w:t>Day before going into hospital</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rsidR="00C41974" w:rsidRPr="00AA04D4" w:rsidRDefault="00C41974" w:rsidP="00AE2FF4">
            <w:pPr>
              <w:jc w:val="center"/>
              <w:rPr>
                <w:rFonts w:cs="Arial"/>
                <w:b/>
                <w:color w:val="FFFFFF" w:themeColor="background1"/>
              </w:rPr>
            </w:pPr>
            <w:r w:rsidRPr="00AA04D4">
              <w:rPr>
                <w:rFonts w:cs="Arial"/>
                <w:b/>
                <w:color w:val="FFFFFF" w:themeColor="background1"/>
              </w:rPr>
              <w:t>Day of surgery</w:t>
            </w:r>
          </w:p>
        </w:tc>
        <w:tc>
          <w:tcPr>
            <w:tcW w:w="2578" w:type="dxa"/>
            <w:tcBorders>
              <w:top w:val="single" w:sz="4" w:space="0" w:color="auto"/>
              <w:left w:val="single" w:sz="4" w:space="0" w:color="auto"/>
              <w:bottom w:val="single" w:sz="4" w:space="0" w:color="auto"/>
              <w:right w:val="single" w:sz="4" w:space="0" w:color="auto"/>
            </w:tcBorders>
            <w:shd w:val="clear" w:color="auto" w:fill="F79646" w:themeFill="accent6"/>
          </w:tcPr>
          <w:p w:rsidR="00C41974" w:rsidRPr="00AA04D4" w:rsidRDefault="00C41974" w:rsidP="00AE2FF4">
            <w:pPr>
              <w:jc w:val="center"/>
              <w:rPr>
                <w:rFonts w:cs="Arial"/>
                <w:b/>
                <w:color w:val="FFFFFF" w:themeColor="background1"/>
              </w:rPr>
            </w:pPr>
          </w:p>
        </w:tc>
      </w:tr>
      <w:tr w:rsidR="00C41974" w:rsidRPr="00AA04D4" w:rsidTr="00AE2FF4">
        <w:trPr>
          <w:trHeight w:val="256"/>
        </w:trPr>
        <w:tc>
          <w:tcPr>
            <w:tcW w:w="0" w:type="auto"/>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C41974" w:rsidRPr="00AA04D4" w:rsidRDefault="00C41974" w:rsidP="00AE2FF4">
            <w:pPr>
              <w:rPr>
                <w:rFonts w:cs="Arial"/>
                <w:b/>
                <w:color w:val="FFFFFF" w:themeColor="background1"/>
              </w:rPr>
            </w:pPr>
          </w:p>
        </w:tc>
        <w:tc>
          <w:tcPr>
            <w:tcW w:w="0" w:type="auto"/>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C41974" w:rsidRPr="00AA04D4" w:rsidRDefault="00C41974" w:rsidP="00AE2FF4">
            <w:pPr>
              <w:rPr>
                <w:rFonts w:cs="Arial"/>
                <w:b/>
                <w:color w:val="FFFFFF" w:themeColor="background1"/>
              </w:rPr>
            </w:pPr>
          </w:p>
        </w:tc>
        <w:tc>
          <w:tcPr>
            <w:tcW w:w="1700"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C41974" w:rsidRPr="00AA04D4" w:rsidRDefault="00C41974" w:rsidP="00AE2FF4">
            <w:pPr>
              <w:rPr>
                <w:rFonts w:cs="Arial"/>
                <w:b/>
                <w:color w:val="FFFFFF" w:themeColor="background1"/>
              </w:rPr>
            </w:pPr>
            <w:r w:rsidRPr="00AA04D4">
              <w:rPr>
                <w:rFonts w:cs="Arial"/>
                <w:b/>
                <w:color w:val="FFFFFF" w:themeColor="background1"/>
              </w:rPr>
              <w:t xml:space="preserve">Patient for a.m. surgery </w:t>
            </w:r>
          </w:p>
        </w:tc>
        <w:tc>
          <w:tcPr>
            <w:tcW w:w="1528"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C41974" w:rsidRPr="00AA04D4" w:rsidRDefault="00C41974" w:rsidP="00AE2FF4">
            <w:pPr>
              <w:rPr>
                <w:rFonts w:cs="Arial"/>
                <w:b/>
                <w:color w:val="FFFFFF" w:themeColor="background1"/>
              </w:rPr>
            </w:pPr>
            <w:r w:rsidRPr="00AA04D4">
              <w:rPr>
                <w:rFonts w:cs="Arial"/>
                <w:b/>
                <w:color w:val="FFFFFF" w:themeColor="background1"/>
              </w:rPr>
              <w:t>Patient for p.m. surgery</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C41974" w:rsidRPr="00AA04D4" w:rsidRDefault="00C41974" w:rsidP="00AE2FF4">
            <w:pPr>
              <w:rPr>
                <w:rFonts w:cs="Arial"/>
                <w:b/>
                <w:color w:val="FFFFFF" w:themeColor="background1"/>
              </w:rPr>
            </w:pPr>
            <w:r w:rsidRPr="00AA04D4">
              <w:rPr>
                <w:rFonts w:cs="Arial"/>
                <w:b/>
                <w:color w:val="FFFFFF" w:themeColor="background1"/>
              </w:rPr>
              <w:t>After surgery</w:t>
            </w:r>
          </w:p>
        </w:tc>
        <w:tc>
          <w:tcPr>
            <w:tcW w:w="2578" w:type="dxa"/>
            <w:tcBorders>
              <w:top w:val="single" w:sz="4" w:space="0" w:color="auto"/>
              <w:left w:val="single" w:sz="4" w:space="0" w:color="auto"/>
              <w:bottom w:val="single" w:sz="4" w:space="0" w:color="auto"/>
              <w:right w:val="single" w:sz="4" w:space="0" w:color="auto"/>
            </w:tcBorders>
            <w:shd w:val="clear" w:color="auto" w:fill="F79646" w:themeFill="accent6"/>
          </w:tcPr>
          <w:p w:rsidR="00C41974" w:rsidRPr="00AA04D4" w:rsidRDefault="00C41974" w:rsidP="00AE2FF4">
            <w:pPr>
              <w:rPr>
                <w:rFonts w:cs="Arial"/>
                <w:b/>
                <w:color w:val="FFFFFF" w:themeColor="background1"/>
              </w:rPr>
            </w:pPr>
            <w:r w:rsidRPr="00AA04D4">
              <w:rPr>
                <w:rFonts w:cs="Arial"/>
                <w:b/>
                <w:color w:val="FFFFFF" w:themeColor="background1"/>
              </w:rPr>
              <w:t xml:space="preserve">Specific considerations </w:t>
            </w:r>
          </w:p>
        </w:tc>
      </w:tr>
      <w:tr w:rsidR="00C41974" w:rsidRPr="00AA04D4" w:rsidTr="00AE2FF4">
        <w:trPr>
          <w:trHeight w:val="1969"/>
        </w:trPr>
        <w:tc>
          <w:tcPr>
            <w:tcW w:w="1745"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C41974" w:rsidRPr="00AA04D4" w:rsidRDefault="00C41974" w:rsidP="00AE2FF4">
            <w:pPr>
              <w:rPr>
                <w:rFonts w:cs="Arial"/>
                <w:b/>
                <w:color w:val="FFFFFF" w:themeColor="background1"/>
              </w:rPr>
            </w:pPr>
          </w:p>
          <w:p w:rsidR="00C41974" w:rsidRPr="00AA04D4" w:rsidRDefault="00C41974" w:rsidP="00AE2FF4">
            <w:pPr>
              <w:rPr>
                <w:rFonts w:cs="Arial"/>
                <w:color w:val="FFFFFF" w:themeColor="background1"/>
              </w:rPr>
            </w:pPr>
            <w:r w:rsidRPr="00AA04D4">
              <w:rPr>
                <w:rFonts w:cs="Arial"/>
                <w:b/>
                <w:color w:val="FFFFFF" w:themeColor="background1"/>
              </w:rPr>
              <w:t>Metformin</w:t>
            </w:r>
          </w:p>
        </w:tc>
        <w:tc>
          <w:tcPr>
            <w:tcW w:w="1062" w:type="dxa"/>
            <w:tcBorders>
              <w:top w:val="single" w:sz="4" w:space="0" w:color="auto"/>
              <w:left w:val="single" w:sz="4" w:space="0" w:color="auto"/>
              <w:bottom w:val="single" w:sz="4" w:space="0" w:color="auto"/>
              <w:right w:val="single" w:sz="4" w:space="0" w:color="auto"/>
            </w:tcBorders>
            <w:hideMark/>
          </w:tcPr>
          <w:p w:rsidR="00C41974" w:rsidRPr="00AA04D4" w:rsidRDefault="00C41974" w:rsidP="00AE2FF4">
            <w:pPr>
              <w:rPr>
                <w:rFonts w:cs="Arial"/>
              </w:rPr>
            </w:pPr>
          </w:p>
          <w:p w:rsidR="00C41974" w:rsidRDefault="00C20E1D" w:rsidP="00AE2FF4">
            <w:pPr>
              <w:rPr>
                <w:rFonts w:cs="Arial"/>
              </w:rPr>
            </w:pPr>
            <w:r>
              <w:rPr>
                <w:rFonts w:cs="Arial"/>
                <w:b/>
              </w:rPr>
              <w:t xml:space="preserve">No bowel prep: </w:t>
            </w:r>
            <w:r w:rsidR="00C41974" w:rsidRPr="00AA04D4">
              <w:rPr>
                <w:rFonts w:cs="Arial"/>
              </w:rPr>
              <w:t>Take as normal</w:t>
            </w:r>
          </w:p>
          <w:p w:rsidR="00C20E1D" w:rsidRDefault="00C20E1D" w:rsidP="00AE2FF4">
            <w:pPr>
              <w:rPr>
                <w:rFonts w:cs="Arial"/>
              </w:rPr>
            </w:pPr>
          </w:p>
          <w:p w:rsidR="00C20E1D" w:rsidRDefault="00C20E1D" w:rsidP="00AE2FF4">
            <w:pPr>
              <w:rPr>
                <w:rFonts w:cs="Arial"/>
              </w:rPr>
            </w:pPr>
            <w:r>
              <w:rPr>
                <w:rFonts w:cs="Arial"/>
                <w:b/>
              </w:rPr>
              <w:t>Bowel prep:</w:t>
            </w:r>
          </w:p>
          <w:p w:rsidR="00C20E1D" w:rsidRPr="00C20E1D" w:rsidRDefault="00C20E1D" w:rsidP="00AE2FF4">
            <w:pPr>
              <w:rPr>
                <w:rFonts w:cs="Arial"/>
              </w:rPr>
            </w:pPr>
            <w:r>
              <w:rPr>
                <w:rFonts w:cs="Arial"/>
              </w:rPr>
              <w:t>Omit</w:t>
            </w:r>
            <w:r w:rsidR="0010366E">
              <w:rPr>
                <w:rFonts w:cs="Arial"/>
              </w:rPr>
              <w:t xml:space="preserve"> all doses</w:t>
            </w:r>
          </w:p>
        </w:tc>
        <w:tc>
          <w:tcPr>
            <w:tcW w:w="1700"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Omit all doses</w:t>
            </w:r>
          </w:p>
        </w:tc>
        <w:tc>
          <w:tcPr>
            <w:tcW w:w="1528"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Omit all doses</w:t>
            </w:r>
          </w:p>
        </w:tc>
        <w:tc>
          <w:tcPr>
            <w:tcW w:w="1701"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 xml:space="preserve">Recommence </w:t>
            </w:r>
            <w:r w:rsidRPr="00AA04D4">
              <w:rPr>
                <w:rFonts w:cs="Arial"/>
                <w:b/>
                <w:u w:val="single"/>
              </w:rPr>
              <w:t>48 hours</w:t>
            </w:r>
            <w:r w:rsidRPr="00AA04D4">
              <w:rPr>
                <w:rFonts w:cs="Arial"/>
                <w:b/>
              </w:rPr>
              <w:t xml:space="preserve"> </w:t>
            </w:r>
            <w:r w:rsidRPr="00AA04D4">
              <w:rPr>
                <w:rFonts w:cs="Arial"/>
              </w:rPr>
              <w:t xml:space="preserve">after surgery </w:t>
            </w:r>
            <w:r w:rsidR="00AE2FF4" w:rsidRPr="00AA04D4">
              <w:rPr>
                <w:rFonts w:cs="Arial"/>
              </w:rPr>
              <w:t>(see specific considerations)</w:t>
            </w:r>
          </w:p>
        </w:tc>
        <w:tc>
          <w:tcPr>
            <w:tcW w:w="2578"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D94D19">
            <w:pPr>
              <w:rPr>
                <w:rFonts w:cs="Arial"/>
                <w:b/>
                <w:color w:val="FF0000"/>
              </w:rPr>
            </w:pPr>
            <w:r w:rsidRPr="00AA04D4">
              <w:rPr>
                <w:rFonts w:cs="Arial"/>
                <w:b/>
                <w:color w:val="FF0000"/>
              </w:rPr>
              <w:t xml:space="preserve">Withhold until 48 hours post-operation.  Resume if patient eating and drinking, ensure </w:t>
            </w:r>
            <w:proofErr w:type="spellStart"/>
            <w:r w:rsidRPr="00AA04D4">
              <w:rPr>
                <w:rFonts w:cs="Arial"/>
                <w:b/>
                <w:color w:val="FF0000"/>
              </w:rPr>
              <w:t>eGFR</w:t>
            </w:r>
            <w:proofErr w:type="spellEnd"/>
            <w:r w:rsidRPr="00AA04D4">
              <w:rPr>
                <w:rFonts w:cs="Arial"/>
                <w:b/>
                <w:color w:val="FF0000"/>
              </w:rPr>
              <w:t>&gt;40</w:t>
            </w:r>
            <w:r w:rsidR="00D94D19">
              <w:rPr>
                <w:rFonts w:cs="Arial"/>
                <w:b/>
                <w:color w:val="FF0000"/>
              </w:rPr>
              <w:t>ml/min/1.73m</w:t>
            </w:r>
            <w:r w:rsidR="00D94D19">
              <w:rPr>
                <w:rFonts w:cs="Arial"/>
                <w:b/>
                <w:color w:val="FF0000"/>
                <w:vertAlign w:val="superscript"/>
              </w:rPr>
              <w:t>2</w:t>
            </w:r>
            <w:r w:rsidR="00D94D19">
              <w:rPr>
                <w:rFonts w:cs="Arial"/>
                <w:b/>
                <w:color w:val="FF0000"/>
              </w:rPr>
              <w:t xml:space="preserve"> </w:t>
            </w:r>
            <w:r w:rsidRPr="00AA04D4">
              <w:rPr>
                <w:rFonts w:cs="Arial"/>
                <w:b/>
                <w:color w:val="FF0000"/>
              </w:rPr>
              <w:t xml:space="preserve">serum </w:t>
            </w:r>
            <w:proofErr w:type="spellStart"/>
            <w:r w:rsidRPr="00AA04D4">
              <w:rPr>
                <w:rFonts w:cs="Arial"/>
                <w:b/>
                <w:color w:val="FF0000"/>
              </w:rPr>
              <w:t>creatinine</w:t>
            </w:r>
            <w:proofErr w:type="spellEnd"/>
            <w:r w:rsidRPr="00AA04D4">
              <w:rPr>
                <w:rFonts w:cs="Arial"/>
                <w:b/>
                <w:color w:val="FF0000"/>
              </w:rPr>
              <w:t xml:space="preserve"> &lt;150</w:t>
            </w:r>
            <m:oMath>
              <m:r>
                <m:rPr>
                  <m:sty m:val="b"/>
                </m:rPr>
                <w:rPr>
                  <w:rFonts w:ascii="Cambria Math" w:hAnsi="Cambria Math" w:cs="Arial"/>
                  <w:color w:val="FF0000"/>
                </w:rPr>
                <m:t>µ</m:t>
              </m:r>
            </m:oMath>
            <w:r w:rsidRPr="00AA04D4">
              <w:rPr>
                <w:rFonts w:cs="Arial"/>
                <w:b/>
                <w:color w:val="FF0000"/>
              </w:rPr>
              <w:t>mol/l, no sepsis, no overt heart failure and no hypovolaemia.</w:t>
            </w:r>
          </w:p>
        </w:tc>
      </w:tr>
      <w:tr w:rsidR="00C41974" w:rsidRPr="00AA04D4" w:rsidTr="00AE2FF4">
        <w:trPr>
          <w:trHeight w:val="933"/>
        </w:trPr>
        <w:tc>
          <w:tcPr>
            <w:tcW w:w="1745"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C41974" w:rsidRPr="00AA04D4" w:rsidRDefault="00C41974" w:rsidP="00AE2FF4">
            <w:pPr>
              <w:rPr>
                <w:rFonts w:cs="Arial"/>
                <w:b/>
                <w:color w:val="FFFFFF" w:themeColor="background1"/>
              </w:rPr>
            </w:pPr>
          </w:p>
          <w:p w:rsidR="00C41974" w:rsidRPr="00AA04D4" w:rsidRDefault="00C41974" w:rsidP="00AE2FF4">
            <w:pPr>
              <w:rPr>
                <w:rFonts w:cs="Arial"/>
                <w:b/>
                <w:color w:val="FFFFFF" w:themeColor="background1"/>
              </w:rPr>
            </w:pPr>
            <w:r w:rsidRPr="00AA04D4">
              <w:rPr>
                <w:rFonts w:cs="Arial"/>
                <w:b/>
                <w:color w:val="FFFFFF" w:themeColor="background1"/>
              </w:rPr>
              <w:t>Sulfonylureas (e.g. gliclazide, glipizide, glibenclamide, glimeperide)</w:t>
            </w:r>
          </w:p>
        </w:tc>
        <w:tc>
          <w:tcPr>
            <w:tcW w:w="1062" w:type="dxa"/>
            <w:tcBorders>
              <w:top w:val="single" w:sz="4" w:space="0" w:color="auto"/>
              <w:left w:val="single" w:sz="4" w:space="0" w:color="auto"/>
              <w:bottom w:val="single" w:sz="4" w:space="0" w:color="auto"/>
              <w:right w:val="single" w:sz="4" w:space="0" w:color="auto"/>
            </w:tcBorders>
            <w:hideMark/>
          </w:tcPr>
          <w:p w:rsidR="00C41974" w:rsidRPr="00AA04D4" w:rsidRDefault="00C41974" w:rsidP="00AE2FF4">
            <w:pPr>
              <w:rPr>
                <w:rFonts w:cs="Arial"/>
              </w:rPr>
            </w:pPr>
          </w:p>
          <w:p w:rsidR="00C41974" w:rsidRPr="00AA04D4" w:rsidRDefault="00C41974" w:rsidP="00AE2FF4">
            <w:pPr>
              <w:rPr>
                <w:rFonts w:cs="Arial"/>
              </w:rPr>
            </w:pPr>
            <w:r w:rsidRPr="00AA04D4">
              <w:rPr>
                <w:rFonts w:cs="Arial"/>
              </w:rPr>
              <w:t>Take as normal</w:t>
            </w:r>
          </w:p>
        </w:tc>
        <w:tc>
          <w:tcPr>
            <w:tcW w:w="1700"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Omit morning dose</w:t>
            </w:r>
          </w:p>
        </w:tc>
        <w:tc>
          <w:tcPr>
            <w:tcW w:w="1528"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 xml:space="preserve">Omit morning dose.  </w:t>
            </w:r>
          </w:p>
          <w:p w:rsidR="00C41974" w:rsidRPr="00AA04D4" w:rsidRDefault="00C41974" w:rsidP="00AE2FF4">
            <w:pPr>
              <w:rPr>
                <w:rFonts w:cs="Arial"/>
              </w:rPr>
            </w:pPr>
            <w:r w:rsidRPr="00AA04D4">
              <w:rPr>
                <w:rFonts w:cs="Arial"/>
              </w:rPr>
              <w:t>If taken twice daily take evening dose</w:t>
            </w:r>
            <w:r w:rsidRPr="00AA04D4">
              <w:rPr>
                <w:rFonts w:cs="Arial"/>
                <w:b/>
              </w:rPr>
              <w:t xml:space="preserve"> </w:t>
            </w:r>
            <w:r w:rsidRPr="00AA04D4">
              <w:rPr>
                <w:rFonts w:cs="Arial"/>
                <w:b/>
                <w:u w:val="single"/>
              </w:rPr>
              <w:t>only if eating</w:t>
            </w:r>
          </w:p>
        </w:tc>
        <w:tc>
          <w:tcPr>
            <w:tcW w:w="1701"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Recommence when eating and drinking normally</w:t>
            </w:r>
          </w:p>
        </w:tc>
        <w:tc>
          <w:tcPr>
            <w:tcW w:w="2578"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tc>
      </w:tr>
      <w:tr w:rsidR="00C41974" w:rsidRPr="00AA04D4" w:rsidTr="00AE2FF4">
        <w:trPr>
          <w:trHeight w:val="987"/>
        </w:trPr>
        <w:tc>
          <w:tcPr>
            <w:tcW w:w="1745"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C41974" w:rsidRPr="00AA04D4" w:rsidRDefault="00C41974" w:rsidP="00AE2FF4">
            <w:pPr>
              <w:rPr>
                <w:rFonts w:cs="Arial"/>
                <w:b/>
                <w:color w:val="FFFFFF" w:themeColor="background1"/>
              </w:rPr>
            </w:pPr>
          </w:p>
          <w:p w:rsidR="00C41974" w:rsidRDefault="00C41974" w:rsidP="00AE2FF4">
            <w:pPr>
              <w:rPr>
                <w:rFonts w:cs="Arial"/>
                <w:b/>
                <w:color w:val="FFFFFF" w:themeColor="background1"/>
              </w:rPr>
            </w:pPr>
            <w:r w:rsidRPr="00AA04D4">
              <w:rPr>
                <w:rFonts w:cs="Arial"/>
                <w:b/>
                <w:color w:val="FFFFFF" w:themeColor="background1"/>
              </w:rPr>
              <w:t>Pioglitazone</w:t>
            </w:r>
          </w:p>
          <w:p w:rsidR="0010366E" w:rsidRPr="00AA04D4" w:rsidRDefault="0010366E" w:rsidP="00AE2FF4">
            <w:pPr>
              <w:rPr>
                <w:rFonts w:cs="Arial"/>
                <w:b/>
                <w:color w:val="FFFFFF" w:themeColor="background1"/>
              </w:rPr>
            </w:pPr>
          </w:p>
        </w:tc>
        <w:tc>
          <w:tcPr>
            <w:tcW w:w="1062" w:type="dxa"/>
            <w:tcBorders>
              <w:top w:val="single" w:sz="4" w:space="0" w:color="auto"/>
              <w:left w:val="single" w:sz="4" w:space="0" w:color="auto"/>
              <w:bottom w:val="single" w:sz="4" w:space="0" w:color="auto"/>
              <w:right w:val="single" w:sz="4" w:space="0" w:color="auto"/>
            </w:tcBorders>
            <w:hideMark/>
          </w:tcPr>
          <w:p w:rsidR="00C41974" w:rsidRPr="00AA04D4" w:rsidRDefault="00C41974" w:rsidP="00AE2FF4">
            <w:pPr>
              <w:rPr>
                <w:rFonts w:cs="Arial"/>
              </w:rPr>
            </w:pPr>
          </w:p>
          <w:p w:rsidR="00C41974" w:rsidRPr="00AA04D4" w:rsidRDefault="00C41974" w:rsidP="00AE2FF4">
            <w:pPr>
              <w:rPr>
                <w:rFonts w:cs="Arial"/>
              </w:rPr>
            </w:pPr>
            <w:r w:rsidRPr="00AA04D4">
              <w:rPr>
                <w:rFonts w:cs="Arial"/>
              </w:rPr>
              <w:t>Take as normal</w:t>
            </w:r>
          </w:p>
        </w:tc>
        <w:tc>
          <w:tcPr>
            <w:tcW w:w="1700"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Omit on day of surgery</w:t>
            </w:r>
          </w:p>
        </w:tc>
        <w:tc>
          <w:tcPr>
            <w:tcW w:w="1528"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Omit on day of surgery</w:t>
            </w:r>
          </w:p>
        </w:tc>
        <w:tc>
          <w:tcPr>
            <w:tcW w:w="1701"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Recommence wh</w:t>
            </w:r>
            <w:r w:rsidR="00AA04D4">
              <w:rPr>
                <w:rFonts w:cs="Arial"/>
              </w:rPr>
              <w:t>en eating and drinking normally</w:t>
            </w:r>
          </w:p>
          <w:p w:rsidR="00C41974" w:rsidRPr="00AA04D4" w:rsidRDefault="00C41974" w:rsidP="00AE2FF4">
            <w:pPr>
              <w:rPr>
                <w:rFonts w:cs="Arial"/>
              </w:rPr>
            </w:pPr>
          </w:p>
        </w:tc>
        <w:tc>
          <w:tcPr>
            <w:tcW w:w="2578"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tc>
      </w:tr>
      <w:tr w:rsidR="00C41974" w:rsidRPr="00AA04D4" w:rsidTr="00AE2FF4">
        <w:trPr>
          <w:trHeight w:val="987"/>
        </w:trPr>
        <w:tc>
          <w:tcPr>
            <w:tcW w:w="1745" w:type="dxa"/>
            <w:tcBorders>
              <w:top w:val="single" w:sz="4" w:space="0" w:color="auto"/>
              <w:left w:val="single" w:sz="4" w:space="0" w:color="auto"/>
              <w:bottom w:val="single" w:sz="4" w:space="0" w:color="auto"/>
              <w:right w:val="single" w:sz="4" w:space="0" w:color="auto"/>
            </w:tcBorders>
            <w:shd w:val="clear" w:color="auto" w:fill="F79646" w:themeFill="accent6"/>
          </w:tcPr>
          <w:p w:rsidR="00C41974" w:rsidRPr="00AA04D4" w:rsidRDefault="00C41974" w:rsidP="00AE2FF4">
            <w:pPr>
              <w:rPr>
                <w:rFonts w:cs="Arial"/>
                <w:b/>
                <w:color w:val="FFFFFF" w:themeColor="background1"/>
              </w:rPr>
            </w:pPr>
          </w:p>
          <w:p w:rsidR="00C41974" w:rsidRDefault="00C41974" w:rsidP="00AE2FF4">
            <w:pPr>
              <w:rPr>
                <w:rFonts w:cs="Arial"/>
                <w:b/>
                <w:color w:val="FFFFFF" w:themeColor="background1"/>
              </w:rPr>
            </w:pPr>
            <w:r w:rsidRPr="00AA04D4">
              <w:rPr>
                <w:rFonts w:cs="Arial"/>
                <w:b/>
                <w:color w:val="FFFFFF" w:themeColor="background1"/>
              </w:rPr>
              <w:t>DPP IV inhibitor (e.g. sitagliptin, vidagliptin, saxagliptin, alogliptin, linagliptin)</w:t>
            </w:r>
          </w:p>
          <w:p w:rsidR="0010366E" w:rsidRPr="00AA04D4" w:rsidRDefault="0010366E" w:rsidP="00AE2FF4">
            <w:pPr>
              <w:rPr>
                <w:rFonts w:cs="Arial"/>
                <w:b/>
                <w:color w:val="FFFFFF" w:themeColor="background1"/>
              </w:rPr>
            </w:pPr>
          </w:p>
        </w:tc>
        <w:tc>
          <w:tcPr>
            <w:tcW w:w="1062"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Take as normal</w:t>
            </w:r>
          </w:p>
        </w:tc>
        <w:tc>
          <w:tcPr>
            <w:tcW w:w="1700"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AA04D4" w:rsidP="00AA04D4">
            <w:pPr>
              <w:rPr>
                <w:rFonts w:cs="Arial"/>
              </w:rPr>
            </w:pPr>
            <w:r>
              <w:rPr>
                <w:rFonts w:cs="Arial"/>
              </w:rPr>
              <w:t xml:space="preserve">Omit </w:t>
            </w:r>
            <w:r w:rsidR="00C41974" w:rsidRPr="00AA04D4">
              <w:rPr>
                <w:rFonts w:cs="Arial"/>
              </w:rPr>
              <w:t>morning dose</w:t>
            </w:r>
          </w:p>
        </w:tc>
        <w:tc>
          <w:tcPr>
            <w:tcW w:w="1528"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A04D4">
            <w:pPr>
              <w:rPr>
                <w:rFonts w:cs="Arial"/>
              </w:rPr>
            </w:pPr>
            <w:r w:rsidRPr="00AA04D4">
              <w:rPr>
                <w:rFonts w:cs="Arial"/>
              </w:rPr>
              <w:t>Omit morning dose</w:t>
            </w:r>
          </w:p>
        </w:tc>
        <w:tc>
          <w:tcPr>
            <w:tcW w:w="1701"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Recommence when eating and drinking normally</w:t>
            </w:r>
          </w:p>
        </w:tc>
        <w:tc>
          <w:tcPr>
            <w:tcW w:w="2578"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tc>
      </w:tr>
      <w:tr w:rsidR="00C41974" w:rsidRPr="00AA04D4" w:rsidTr="0010366E">
        <w:trPr>
          <w:trHeight w:val="2045"/>
        </w:trPr>
        <w:tc>
          <w:tcPr>
            <w:tcW w:w="1745" w:type="dxa"/>
            <w:tcBorders>
              <w:top w:val="single" w:sz="4" w:space="0" w:color="auto"/>
              <w:left w:val="single" w:sz="4" w:space="0" w:color="auto"/>
              <w:bottom w:val="single" w:sz="4" w:space="0" w:color="auto"/>
              <w:right w:val="single" w:sz="4" w:space="0" w:color="auto"/>
            </w:tcBorders>
            <w:shd w:val="clear" w:color="auto" w:fill="F79646" w:themeFill="accent6"/>
          </w:tcPr>
          <w:p w:rsidR="00C41974" w:rsidRPr="00AA04D4" w:rsidRDefault="00C41974" w:rsidP="00AE2FF4">
            <w:pPr>
              <w:rPr>
                <w:rFonts w:cs="Arial"/>
                <w:b/>
                <w:color w:val="FFFFFF" w:themeColor="background1"/>
              </w:rPr>
            </w:pPr>
          </w:p>
          <w:p w:rsidR="00C41974" w:rsidRPr="00AA04D4" w:rsidRDefault="00C41974" w:rsidP="00AE2FF4">
            <w:pPr>
              <w:rPr>
                <w:rFonts w:cs="Arial"/>
                <w:b/>
                <w:color w:val="FFFFFF" w:themeColor="background1"/>
              </w:rPr>
            </w:pPr>
            <w:r w:rsidRPr="00AA04D4">
              <w:rPr>
                <w:rFonts w:cs="Arial"/>
                <w:b/>
                <w:color w:val="FFFFFF" w:themeColor="background1"/>
              </w:rPr>
              <w:t>GLP-1 analogue (e.g. exenatide, liraglutide, lixisenatide, dulaglutide)</w:t>
            </w:r>
          </w:p>
          <w:p w:rsidR="0010366E" w:rsidRPr="00AA04D4" w:rsidRDefault="0010366E" w:rsidP="00AE2FF4">
            <w:pPr>
              <w:rPr>
                <w:rFonts w:cs="Arial"/>
                <w:b/>
                <w:color w:val="FFFFFF" w:themeColor="background1"/>
              </w:rPr>
            </w:pPr>
          </w:p>
        </w:tc>
        <w:tc>
          <w:tcPr>
            <w:tcW w:w="1062"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Take as normal</w:t>
            </w:r>
          </w:p>
        </w:tc>
        <w:tc>
          <w:tcPr>
            <w:tcW w:w="1700"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Omit all doses</w:t>
            </w:r>
          </w:p>
        </w:tc>
        <w:tc>
          <w:tcPr>
            <w:tcW w:w="1528"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Omit all doses</w:t>
            </w:r>
          </w:p>
        </w:tc>
        <w:tc>
          <w:tcPr>
            <w:tcW w:w="1701"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Recommence when</w:t>
            </w:r>
            <w:r w:rsidR="00AA04D4">
              <w:rPr>
                <w:rFonts w:cs="Arial"/>
              </w:rPr>
              <w:t xml:space="preserve"> eating and drinking normally</w:t>
            </w:r>
          </w:p>
        </w:tc>
        <w:tc>
          <w:tcPr>
            <w:tcW w:w="2578" w:type="dxa"/>
            <w:tcBorders>
              <w:top w:val="single" w:sz="4" w:space="0" w:color="auto"/>
              <w:left w:val="single" w:sz="4" w:space="0" w:color="auto"/>
              <w:bottom w:val="single" w:sz="4" w:space="0" w:color="auto"/>
              <w:right w:val="single" w:sz="4" w:space="0" w:color="auto"/>
            </w:tcBorders>
          </w:tcPr>
          <w:p w:rsidR="00C41974" w:rsidRPr="00AA04D4" w:rsidRDefault="00C41974" w:rsidP="00AE2FF4">
            <w:pPr>
              <w:rPr>
                <w:rFonts w:cs="Arial"/>
              </w:rPr>
            </w:pPr>
          </w:p>
          <w:p w:rsidR="00C41974" w:rsidRPr="00AA04D4" w:rsidRDefault="00C41974" w:rsidP="00AE2FF4">
            <w:pPr>
              <w:rPr>
                <w:rFonts w:cs="Arial"/>
              </w:rPr>
            </w:pPr>
            <w:r w:rsidRPr="00AA04D4">
              <w:rPr>
                <w:rFonts w:cs="Arial"/>
              </w:rPr>
              <w:t xml:space="preserve">If </w:t>
            </w:r>
            <w:r w:rsidRPr="00AA04D4">
              <w:rPr>
                <w:rFonts w:cs="Arial"/>
                <w:b/>
              </w:rPr>
              <w:t>pancreatitis</w:t>
            </w:r>
            <w:r w:rsidRPr="00AA04D4">
              <w:rPr>
                <w:rFonts w:cs="Arial"/>
              </w:rPr>
              <w:t xml:space="preserve"> is suspected promptly discontinue</w:t>
            </w:r>
          </w:p>
          <w:p w:rsidR="00C41974" w:rsidRPr="00AA04D4" w:rsidRDefault="00C41974" w:rsidP="00AE2FF4">
            <w:pPr>
              <w:rPr>
                <w:rFonts w:cs="Arial"/>
              </w:rPr>
            </w:pPr>
          </w:p>
          <w:p w:rsidR="00C41974" w:rsidRPr="00AA04D4" w:rsidRDefault="00C41974" w:rsidP="00AE2FF4">
            <w:pPr>
              <w:rPr>
                <w:rFonts w:cs="Arial"/>
              </w:rPr>
            </w:pPr>
            <w:r w:rsidRPr="00AA04D4">
              <w:rPr>
                <w:rFonts w:cs="Arial"/>
              </w:rPr>
              <w:t>If eGFR &lt; 30ml/min</w:t>
            </w:r>
            <w:r w:rsidR="00D94D19">
              <w:rPr>
                <w:rFonts w:cs="Arial"/>
              </w:rPr>
              <w:t>/1.73m</w:t>
            </w:r>
            <w:r w:rsidR="00D94D19">
              <w:rPr>
                <w:rFonts w:cs="Arial"/>
                <w:vertAlign w:val="superscript"/>
              </w:rPr>
              <w:t>2</w:t>
            </w:r>
            <w:r w:rsidRPr="00AA04D4">
              <w:rPr>
                <w:rFonts w:cs="Arial"/>
              </w:rPr>
              <w:t xml:space="preserve"> do not use.</w:t>
            </w:r>
          </w:p>
          <w:p w:rsidR="0010366E" w:rsidRPr="00AA04D4" w:rsidRDefault="0010366E" w:rsidP="00AE2FF4">
            <w:pPr>
              <w:rPr>
                <w:rFonts w:cs="Arial"/>
              </w:rPr>
            </w:pPr>
          </w:p>
        </w:tc>
      </w:tr>
    </w:tbl>
    <w:p w:rsidR="00C41974" w:rsidRDefault="00C41974">
      <w:pPr>
        <w:rPr>
          <w:rFonts w:cs="Arial"/>
          <w:b/>
        </w:rPr>
      </w:pPr>
    </w:p>
    <w:p w:rsidR="0010366E" w:rsidRDefault="0010366E">
      <w:pPr>
        <w:rPr>
          <w:rFonts w:cs="Arial"/>
          <w:b/>
        </w:rPr>
      </w:pPr>
    </w:p>
    <w:p w:rsidR="0010366E" w:rsidRDefault="0010366E">
      <w:pPr>
        <w:rPr>
          <w:rFonts w:cs="Arial"/>
          <w:b/>
        </w:rPr>
      </w:pPr>
    </w:p>
    <w:p w:rsidR="0010366E" w:rsidRDefault="0010366E">
      <w:pPr>
        <w:rPr>
          <w:rFonts w:cs="Arial"/>
          <w:b/>
        </w:rPr>
        <w:sectPr w:rsidR="0010366E" w:rsidSect="008B6297">
          <w:headerReference w:type="default" r:id="rId7"/>
          <w:footerReference w:type="default" r:id="rId8"/>
          <w:pgSz w:w="11906" w:h="16838"/>
          <w:pgMar w:top="1440" w:right="1440" w:bottom="1440" w:left="1440" w:header="708" w:footer="708" w:gutter="0"/>
          <w:cols w:space="708"/>
          <w:docGrid w:linePitch="360"/>
        </w:sectPr>
      </w:pPr>
    </w:p>
    <w:tbl>
      <w:tblPr>
        <w:tblStyle w:val="TableGrid"/>
        <w:tblpPr w:leftFromText="180" w:rightFromText="180" w:vertAnchor="page" w:horzAnchor="margin" w:tblpXSpec="center" w:tblpY="1846"/>
        <w:tblW w:w="10314" w:type="dxa"/>
        <w:tblLook w:val="04A0"/>
      </w:tblPr>
      <w:tblGrid>
        <w:gridCol w:w="1745"/>
        <w:gridCol w:w="1062"/>
        <w:gridCol w:w="1700"/>
        <w:gridCol w:w="1528"/>
        <w:gridCol w:w="1701"/>
        <w:gridCol w:w="2578"/>
      </w:tblGrid>
      <w:tr w:rsidR="0010366E" w:rsidRPr="00AA04D4" w:rsidTr="0010366E">
        <w:trPr>
          <w:trHeight w:val="481"/>
        </w:trPr>
        <w:tc>
          <w:tcPr>
            <w:tcW w:w="1745"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rsidR="0010366E" w:rsidRPr="00AA04D4" w:rsidRDefault="0010366E" w:rsidP="0010366E">
            <w:pPr>
              <w:rPr>
                <w:rFonts w:cs="Arial"/>
                <w:b/>
                <w:color w:val="FFFFFF" w:themeColor="background1"/>
              </w:rPr>
            </w:pPr>
            <w:r w:rsidRPr="00AA04D4">
              <w:rPr>
                <w:rFonts w:cs="Arial"/>
                <w:b/>
                <w:color w:val="FFFFFF" w:themeColor="background1"/>
              </w:rPr>
              <w:lastRenderedPageBreak/>
              <w:t>Medication</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F79646" w:themeFill="accent6"/>
            <w:hideMark/>
          </w:tcPr>
          <w:p w:rsidR="0010366E" w:rsidRPr="00AA04D4" w:rsidRDefault="0010366E" w:rsidP="0010366E">
            <w:pPr>
              <w:rPr>
                <w:rFonts w:cs="Arial"/>
                <w:b/>
                <w:color w:val="FFFFFF" w:themeColor="background1"/>
              </w:rPr>
            </w:pPr>
            <w:r w:rsidRPr="00AA04D4">
              <w:rPr>
                <w:rFonts w:cs="Arial"/>
                <w:b/>
                <w:color w:val="FFFFFF" w:themeColor="background1"/>
              </w:rPr>
              <w:t>Day before going into hospital</w:t>
            </w:r>
          </w:p>
        </w:tc>
        <w:tc>
          <w:tcPr>
            <w:tcW w:w="4929" w:type="dxa"/>
            <w:gridSpan w:val="3"/>
            <w:tcBorders>
              <w:top w:val="single" w:sz="4" w:space="0" w:color="auto"/>
              <w:left w:val="single" w:sz="4" w:space="0" w:color="auto"/>
              <w:bottom w:val="single" w:sz="4" w:space="0" w:color="auto"/>
              <w:right w:val="single" w:sz="4" w:space="0" w:color="auto"/>
            </w:tcBorders>
            <w:shd w:val="clear" w:color="auto" w:fill="F79646" w:themeFill="accent6"/>
            <w:hideMark/>
          </w:tcPr>
          <w:p w:rsidR="0010366E" w:rsidRPr="00AA04D4" w:rsidRDefault="0010366E" w:rsidP="0010366E">
            <w:pPr>
              <w:jc w:val="center"/>
              <w:rPr>
                <w:rFonts w:cs="Arial"/>
                <w:b/>
                <w:color w:val="FFFFFF" w:themeColor="background1"/>
              </w:rPr>
            </w:pPr>
            <w:r w:rsidRPr="00AA04D4">
              <w:rPr>
                <w:rFonts w:cs="Arial"/>
                <w:b/>
                <w:color w:val="FFFFFF" w:themeColor="background1"/>
              </w:rPr>
              <w:t>Day of surgery</w:t>
            </w:r>
          </w:p>
        </w:tc>
        <w:tc>
          <w:tcPr>
            <w:tcW w:w="2578" w:type="dxa"/>
            <w:tcBorders>
              <w:top w:val="single" w:sz="4" w:space="0" w:color="auto"/>
              <w:left w:val="single" w:sz="4" w:space="0" w:color="auto"/>
              <w:bottom w:val="single" w:sz="4" w:space="0" w:color="auto"/>
              <w:right w:val="single" w:sz="4" w:space="0" w:color="auto"/>
            </w:tcBorders>
            <w:shd w:val="clear" w:color="auto" w:fill="F79646" w:themeFill="accent6"/>
          </w:tcPr>
          <w:p w:rsidR="0010366E" w:rsidRPr="00AA04D4" w:rsidRDefault="0010366E" w:rsidP="0010366E">
            <w:pPr>
              <w:jc w:val="center"/>
              <w:rPr>
                <w:rFonts w:cs="Arial"/>
                <w:b/>
                <w:color w:val="FFFFFF" w:themeColor="background1"/>
              </w:rPr>
            </w:pPr>
          </w:p>
        </w:tc>
      </w:tr>
      <w:tr w:rsidR="0010366E" w:rsidRPr="00AA04D4" w:rsidTr="0010366E">
        <w:trPr>
          <w:trHeight w:val="256"/>
        </w:trPr>
        <w:tc>
          <w:tcPr>
            <w:tcW w:w="0" w:type="auto"/>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10366E" w:rsidRPr="00AA04D4" w:rsidRDefault="0010366E" w:rsidP="0010366E">
            <w:pPr>
              <w:rPr>
                <w:rFonts w:cs="Arial"/>
                <w:b/>
                <w:color w:val="FFFFFF" w:themeColor="background1"/>
              </w:rPr>
            </w:pPr>
          </w:p>
        </w:tc>
        <w:tc>
          <w:tcPr>
            <w:tcW w:w="0" w:type="auto"/>
            <w:vMerge/>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10366E" w:rsidRPr="00AA04D4" w:rsidRDefault="0010366E" w:rsidP="0010366E">
            <w:pPr>
              <w:rPr>
                <w:rFonts w:cs="Arial"/>
                <w:b/>
                <w:color w:val="FFFFFF" w:themeColor="background1"/>
              </w:rPr>
            </w:pPr>
          </w:p>
        </w:tc>
        <w:tc>
          <w:tcPr>
            <w:tcW w:w="1700"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10366E" w:rsidRPr="00AA04D4" w:rsidRDefault="0010366E" w:rsidP="0010366E">
            <w:pPr>
              <w:rPr>
                <w:rFonts w:cs="Arial"/>
                <w:b/>
                <w:color w:val="FFFFFF" w:themeColor="background1"/>
              </w:rPr>
            </w:pPr>
            <w:r w:rsidRPr="00AA04D4">
              <w:rPr>
                <w:rFonts w:cs="Arial"/>
                <w:b/>
                <w:color w:val="FFFFFF" w:themeColor="background1"/>
              </w:rPr>
              <w:t xml:space="preserve">Patient for a.m. surgery </w:t>
            </w:r>
          </w:p>
        </w:tc>
        <w:tc>
          <w:tcPr>
            <w:tcW w:w="1528" w:type="dxa"/>
            <w:tcBorders>
              <w:top w:val="single" w:sz="4" w:space="0" w:color="auto"/>
              <w:left w:val="single" w:sz="4" w:space="0" w:color="auto"/>
              <w:bottom w:val="single" w:sz="4" w:space="0" w:color="auto"/>
              <w:right w:val="single" w:sz="4" w:space="0" w:color="auto"/>
            </w:tcBorders>
            <w:shd w:val="clear" w:color="auto" w:fill="F79646" w:themeFill="accent6"/>
            <w:hideMark/>
          </w:tcPr>
          <w:p w:rsidR="0010366E" w:rsidRPr="00AA04D4" w:rsidRDefault="0010366E" w:rsidP="0010366E">
            <w:pPr>
              <w:rPr>
                <w:rFonts w:cs="Arial"/>
                <w:b/>
                <w:color w:val="FFFFFF" w:themeColor="background1"/>
              </w:rPr>
            </w:pPr>
            <w:r w:rsidRPr="00AA04D4">
              <w:rPr>
                <w:rFonts w:cs="Arial"/>
                <w:b/>
                <w:color w:val="FFFFFF" w:themeColor="background1"/>
              </w:rPr>
              <w:t>Patient for p.m. surgery</w:t>
            </w:r>
          </w:p>
        </w:tc>
        <w:tc>
          <w:tcPr>
            <w:tcW w:w="1701" w:type="dxa"/>
            <w:tcBorders>
              <w:top w:val="single" w:sz="4" w:space="0" w:color="auto"/>
              <w:left w:val="single" w:sz="4" w:space="0" w:color="auto"/>
              <w:bottom w:val="single" w:sz="4" w:space="0" w:color="auto"/>
              <w:right w:val="single" w:sz="4" w:space="0" w:color="auto"/>
            </w:tcBorders>
            <w:shd w:val="clear" w:color="auto" w:fill="F79646" w:themeFill="accent6"/>
          </w:tcPr>
          <w:p w:rsidR="0010366E" w:rsidRPr="00AA04D4" w:rsidRDefault="0010366E" w:rsidP="0010366E">
            <w:pPr>
              <w:rPr>
                <w:rFonts w:cs="Arial"/>
                <w:b/>
                <w:color w:val="FFFFFF" w:themeColor="background1"/>
              </w:rPr>
            </w:pPr>
            <w:r w:rsidRPr="00AA04D4">
              <w:rPr>
                <w:rFonts w:cs="Arial"/>
                <w:b/>
                <w:color w:val="FFFFFF" w:themeColor="background1"/>
              </w:rPr>
              <w:t>After surgery</w:t>
            </w:r>
          </w:p>
        </w:tc>
        <w:tc>
          <w:tcPr>
            <w:tcW w:w="2578" w:type="dxa"/>
            <w:tcBorders>
              <w:top w:val="single" w:sz="4" w:space="0" w:color="auto"/>
              <w:left w:val="single" w:sz="4" w:space="0" w:color="auto"/>
              <w:bottom w:val="single" w:sz="4" w:space="0" w:color="auto"/>
              <w:right w:val="single" w:sz="4" w:space="0" w:color="auto"/>
            </w:tcBorders>
            <w:shd w:val="clear" w:color="auto" w:fill="F79646" w:themeFill="accent6"/>
          </w:tcPr>
          <w:p w:rsidR="0010366E" w:rsidRPr="00AA04D4" w:rsidRDefault="0010366E" w:rsidP="0010366E">
            <w:pPr>
              <w:rPr>
                <w:rFonts w:cs="Arial"/>
                <w:b/>
                <w:color w:val="FFFFFF" w:themeColor="background1"/>
              </w:rPr>
            </w:pPr>
            <w:r w:rsidRPr="00AA04D4">
              <w:rPr>
                <w:rFonts w:cs="Arial"/>
                <w:b/>
                <w:color w:val="FFFFFF" w:themeColor="background1"/>
              </w:rPr>
              <w:t xml:space="preserve">Specific considerations </w:t>
            </w:r>
          </w:p>
        </w:tc>
      </w:tr>
      <w:tr w:rsidR="0010366E" w:rsidRPr="00AA04D4" w:rsidTr="0010366E">
        <w:trPr>
          <w:trHeight w:val="987"/>
        </w:trPr>
        <w:tc>
          <w:tcPr>
            <w:tcW w:w="1745" w:type="dxa"/>
            <w:tcBorders>
              <w:top w:val="single" w:sz="4" w:space="0" w:color="auto"/>
              <w:left w:val="single" w:sz="4" w:space="0" w:color="auto"/>
              <w:bottom w:val="single" w:sz="4" w:space="0" w:color="auto"/>
              <w:right w:val="single" w:sz="4" w:space="0" w:color="auto"/>
            </w:tcBorders>
            <w:shd w:val="clear" w:color="auto" w:fill="F79646" w:themeFill="accent6"/>
          </w:tcPr>
          <w:p w:rsidR="0010366E" w:rsidRPr="00AA04D4" w:rsidRDefault="0010366E" w:rsidP="0010366E">
            <w:pPr>
              <w:rPr>
                <w:rFonts w:cs="Arial"/>
                <w:color w:val="FFFFFF" w:themeColor="background1"/>
              </w:rPr>
            </w:pPr>
            <w:r w:rsidRPr="00AA04D4">
              <w:rPr>
                <w:rFonts w:cs="Arial"/>
                <w:b/>
                <w:color w:val="FFFFFF" w:themeColor="background1"/>
              </w:rPr>
              <w:t xml:space="preserve">SGLT-2 inhibitors (e.g. </w:t>
            </w:r>
            <w:proofErr w:type="spellStart"/>
            <w:r w:rsidRPr="00AA04D4">
              <w:rPr>
                <w:rFonts w:cs="Arial"/>
                <w:b/>
                <w:color w:val="FFFFFF" w:themeColor="background1"/>
              </w:rPr>
              <w:t>dapagliflozin</w:t>
            </w:r>
            <w:proofErr w:type="spellEnd"/>
            <w:r w:rsidRPr="00AA04D4">
              <w:rPr>
                <w:rFonts w:cs="Arial"/>
                <w:b/>
                <w:color w:val="FFFFFF" w:themeColor="background1"/>
              </w:rPr>
              <w:t xml:space="preserve">, </w:t>
            </w:r>
            <w:proofErr w:type="spellStart"/>
            <w:r w:rsidRPr="00AA04D4">
              <w:rPr>
                <w:rFonts w:cs="Arial"/>
                <w:b/>
                <w:color w:val="FFFFFF" w:themeColor="background1"/>
              </w:rPr>
              <w:t>canagliflozin</w:t>
            </w:r>
            <w:proofErr w:type="spellEnd"/>
            <w:r w:rsidRPr="00AA04D4">
              <w:rPr>
                <w:rFonts w:cs="Arial"/>
                <w:b/>
                <w:color w:val="FFFFFF" w:themeColor="background1"/>
              </w:rPr>
              <w:t xml:space="preserve">, </w:t>
            </w:r>
            <w:proofErr w:type="spellStart"/>
            <w:r w:rsidRPr="00AA04D4">
              <w:rPr>
                <w:rFonts w:cs="Arial"/>
                <w:b/>
                <w:color w:val="FFFFFF" w:themeColor="background1"/>
              </w:rPr>
              <w:t>empagliflozin</w:t>
            </w:r>
            <w:proofErr w:type="spellEnd"/>
            <w:r w:rsidRPr="00AA04D4">
              <w:rPr>
                <w:rFonts w:cs="Arial"/>
                <w:b/>
                <w:color w:val="FFFFFF" w:themeColor="background1"/>
              </w:rPr>
              <w:t>)</w:t>
            </w:r>
          </w:p>
        </w:tc>
        <w:tc>
          <w:tcPr>
            <w:tcW w:w="1062"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r>
              <w:rPr>
                <w:rFonts w:cs="Arial"/>
              </w:rPr>
              <w:t>Omit all doses</w:t>
            </w:r>
          </w:p>
        </w:tc>
        <w:tc>
          <w:tcPr>
            <w:tcW w:w="1700"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r w:rsidRPr="00AA04D4">
              <w:rPr>
                <w:rFonts w:cs="Arial"/>
              </w:rPr>
              <w:t xml:space="preserve">Omit on day of surgery </w:t>
            </w:r>
          </w:p>
        </w:tc>
        <w:tc>
          <w:tcPr>
            <w:tcW w:w="1528"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r w:rsidRPr="00AA04D4">
              <w:rPr>
                <w:rFonts w:cs="Arial"/>
              </w:rPr>
              <w:t>Omit on day of surgery</w:t>
            </w:r>
          </w:p>
        </w:tc>
        <w:tc>
          <w:tcPr>
            <w:tcW w:w="1701"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r w:rsidRPr="00AA04D4">
              <w:rPr>
                <w:rFonts w:cs="Arial"/>
              </w:rPr>
              <w:t xml:space="preserve">Treatment may be restarted once </w:t>
            </w:r>
            <w:r>
              <w:rPr>
                <w:rFonts w:cs="Arial"/>
              </w:rPr>
              <w:t>fully recovered from surgery</w:t>
            </w:r>
          </w:p>
        </w:tc>
        <w:tc>
          <w:tcPr>
            <w:tcW w:w="2578"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r w:rsidRPr="00AA04D4">
              <w:rPr>
                <w:rFonts w:cs="Arial"/>
              </w:rPr>
              <w:t xml:space="preserve">Rare but serious cases of </w:t>
            </w:r>
            <w:r w:rsidRPr="00AA04D4">
              <w:rPr>
                <w:rFonts w:cs="Arial"/>
                <w:b/>
              </w:rPr>
              <w:t>diabetic ketoacidosis</w:t>
            </w:r>
            <w:r w:rsidRPr="00AA04D4">
              <w:rPr>
                <w:rFonts w:cs="Arial"/>
              </w:rPr>
              <w:t xml:space="preserve"> have been reported in patients on SGLT inhibitor treatment for Type 2 diabetes. The risk of diabetic ketoacidosis must be considered in the event of non- specific symptoms such as nausea, vomiting, anorexia, abdominal pain, excessive thirst, difficulty breathing, confusion, unusual fatigue or sleepiness.  Treatment should be interrupted in patients who are hospitalised for major surgical procedures or acute serious medical illnesses.  In both cases, treatment with SGLT inhibitors can be restarted once the patient’s condition has stabilised.</w:t>
            </w:r>
          </w:p>
        </w:tc>
      </w:tr>
      <w:tr w:rsidR="0010366E" w:rsidRPr="00AA04D4" w:rsidTr="0010366E">
        <w:trPr>
          <w:trHeight w:val="987"/>
        </w:trPr>
        <w:tc>
          <w:tcPr>
            <w:tcW w:w="1745" w:type="dxa"/>
            <w:tcBorders>
              <w:top w:val="single" w:sz="4" w:space="0" w:color="auto"/>
              <w:left w:val="single" w:sz="4" w:space="0" w:color="auto"/>
              <w:bottom w:val="single" w:sz="4" w:space="0" w:color="auto"/>
              <w:right w:val="single" w:sz="4" w:space="0" w:color="auto"/>
            </w:tcBorders>
            <w:shd w:val="clear" w:color="auto" w:fill="F79646" w:themeFill="accent6"/>
          </w:tcPr>
          <w:p w:rsidR="0010366E" w:rsidRPr="00AA04D4" w:rsidRDefault="0010366E" w:rsidP="0010366E">
            <w:pPr>
              <w:rPr>
                <w:rFonts w:cs="Arial"/>
                <w:b/>
                <w:color w:val="FFFFFF" w:themeColor="background1"/>
              </w:rPr>
            </w:pPr>
          </w:p>
          <w:p w:rsidR="0010366E" w:rsidRPr="00AA04D4" w:rsidRDefault="0010366E" w:rsidP="0010366E">
            <w:pPr>
              <w:rPr>
                <w:rFonts w:cs="Arial"/>
                <w:color w:val="FFFFFF" w:themeColor="background1"/>
              </w:rPr>
            </w:pPr>
            <w:r w:rsidRPr="00AA04D4">
              <w:rPr>
                <w:rFonts w:cs="Arial"/>
                <w:b/>
                <w:color w:val="FFFFFF" w:themeColor="background1"/>
              </w:rPr>
              <w:t>Acarbose</w:t>
            </w:r>
          </w:p>
        </w:tc>
        <w:tc>
          <w:tcPr>
            <w:tcW w:w="1062"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p>
          <w:p w:rsidR="0010366E" w:rsidRPr="00AA04D4" w:rsidRDefault="0010366E" w:rsidP="0010366E">
            <w:pPr>
              <w:rPr>
                <w:rFonts w:cs="Arial"/>
              </w:rPr>
            </w:pPr>
            <w:r w:rsidRPr="00AA04D4">
              <w:rPr>
                <w:rFonts w:cs="Arial"/>
              </w:rPr>
              <w:t>Take as normal</w:t>
            </w:r>
          </w:p>
        </w:tc>
        <w:tc>
          <w:tcPr>
            <w:tcW w:w="1700"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p>
          <w:p w:rsidR="0010366E" w:rsidRPr="00AA04D4" w:rsidRDefault="0010366E" w:rsidP="0010366E">
            <w:pPr>
              <w:rPr>
                <w:rFonts w:cs="Arial"/>
              </w:rPr>
            </w:pPr>
            <w:r>
              <w:rPr>
                <w:rFonts w:cs="Arial"/>
              </w:rPr>
              <w:t>Omit morning dose if breakfast not taken</w:t>
            </w:r>
          </w:p>
        </w:tc>
        <w:tc>
          <w:tcPr>
            <w:tcW w:w="1528"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p>
          <w:p w:rsidR="0010366E" w:rsidRPr="00AA04D4" w:rsidRDefault="0010366E" w:rsidP="0010366E">
            <w:pPr>
              <w:rPr>
                <w:rFonts w:cs="Arial"/>
              </w:rPr>
            </w:pPr>
            <w:r w:rsidRPr="00AA04D4">
              <w:rPr>
                <w:rFonts w:cs="Arial"/>
              </w:rPr>
              <w:t>Take morning dose if eating.  Do not take lunchtime dose</w:t>
            </w:r>
          </w:p>
        </w:tc>
        <w:tc>
          <w:tcPr>
            <w:tcW w:w="1701"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p>
          <w:p w:rsidR="0010366E" w:rsidRPr="00AA04D4" w:rsidRDefault="0010366E" w:rsidP="0010366E">
            <w:pPr>
              <w:rPr>
                <w:rFonts w:cs="Arial"/>
              </w:rPr>
            </w:pPr>
            <w:r w:rsidRPr="00AA04D4">
              <w:rPr>
                <w:rFonts w:cs="Arial"/>
              </w:rPr>
              <w:t>Recommence when eating and drinking normally</w:t>
            </w:r>
          </w:p>
        </w:tc>
        <w:tc>
          <w:tcPr>
            <w:tcW w:w="2578"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p>
        </w:tc>
      </w:tr>
      <w:tr w:rsidR="0010366E" w:rsidRPr="00AA04D4" w:rsidTr="0010366E">
        <w:trPr>
          <w:trHeight w:val="987"/>
        </w:trPr>
        <w:tc>
          <w:tcPr>
            <w:tcW w:w="1745" w:type="dxa"/>
            <w:tcBorders>
              <w:top w:val="single" w:sz="4" w:space="0" w:color="auto"/>
              <w:left w:val="single" w:sz="4" w:space="0" w:color="auto"/>
              <w:bottom w:val="single" w:sz="4" w:space="0" w:color="auto"/>
              <w:right w:val="single" w:sz="4" w:space="0" w:color="auto"/>
            </w:tcBorders>
            <w:shd w:val="clear" w:color="auto" w:fill="F79646" w:themeFill="accent6"/>
          </w:tcPr>
          <w:p w:rsidR="0010366E" w:rsidRPr="00AA04D4" w:rsidRDefault="0010366E" w:rsidP="0010366E">
            <w:pPr>
              <w:rPr>
                <w:rFonts w:cs="Arial"/>
                <w:b/>
                <w:color w:val="FFFFFF" w:themeColor="background1"/>
              </w:rPr>
            </w:pPr>
          </w:p>
          <w:p w:rsidR="0010366E" w:rsidRPr="00AA04D4" w:rsidRDefault="0010366E" w:rsidP="0010366E">
            <w:pPr>
              <w:rPr>
                <w:rFonts w:cs="Arial"/>
                <w:color w:val="FFFFFF" w:themeColor="background1"/>
              </w:rPr>
            </w:pPr>
            <w:r w:rsidRPr="00AA04D4">
              <w:rPr>
                <w:rFonts w:cs="Arial"/>
                <w:b/>
                <w:color w:val="FFFFFF" w:themeColor="background1"/>
              </w:rPr>
              <w:t>Meglitinide (repaglinide or nateglinide)</w:t>
            </w:r>
          </w:p>
        </w:tc>
        <w:tc>
          <w:tcPr>
            <w:tcW w:w="1062"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p>
          <w:p w:rsidR="0010366E" w:rsidRPr="00AA04D4" w:rsidRDefault="0010366E" w:rsidP="0010366E">
            <w:pPr>
              <w:rPr>
                <w:rFonts w:cs="Arial"/>
              </w:rPr>
            </w:pPr>
            <w:r w:rsidRPr="00AA04D4">
              <w:rPr>
                <w:rFonts w:cs="Arial"/>
              </w:rPr>
              <w:t>Take normal</w:t>
            </w:r>
          </w:p>
        </w:tc>
        <w:tc>
          <w:tcPr>
            <w:tcW w:w="1700"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p>
          <w:p w:rsidR="0010366E" w:rsidRPr="00AA04D4" w:rsidRDefault="0010366E" w:rsidP="0010366E">
            <w:pPr>
              <w:rPr>
                <w:rFonts w:cs="Arial"/>
              </w:rPr>
            </w:pPr>
            <w:r w:rsidRPr="00AA04D4">
              <w:rPr>
                <w:rFonts w:cs="Arial"/>
              </w:rPr>
              <w:t xml:space="preserve">Omit morning dose if </w:t>
            </w:r>
            <w:r>
              <w:rPr>
                <w:rFonts w:cs="Arial"/>
              </w:rPr>
              <w:t>breakfast not taken</w:t>
            </w:r>
          </w:p>
        </w:tc>
        <w:tc>
          <w:tcPr>
            <w:tcW w:w="1528"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p>
          <w:p w:rsidR="0010366E" w:rsidRPr="00AA04D4" w:rsidRDefault="0010366E" w:rsidP="0010366E">
            <w:pPr>
              <w:rPr>
                <w:rFonts w:cs="Arial"/>
              </w:rPr>
            </w:pPr>
            <w:r w:rsidRPr="00AA04D4">
              <w:rPr>
                <w:rFonts w:cs="Arial"/>
              </w:rPr>
              <w:t>Take morning dose if eating breakfast</w:t>
            </w:r>
          </w:p>
        </w:tc>
        <w:tc>
          <w:tcPr>
            <w:tcW w:w="1701"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p>
          <w:p w:rsidR="0010366E" w:rsidRDefault="0010366E" w:rsidP="0010366E">
            <w:pPr>
              <w:rPr>
                <w:rFonts w:cs="Arial"/>
              </w:rPr>
            </w:pPr>
            <w:r w:rsidRPr="00AA04D4">
              <w:rPr>
                <w:rFonts w:cs="Arial"/>
              </w:rPr>
              <w:t>Recommence when eating and drinking normally</w:t>
            </w:r>
          </w:p>
          <w:p w:rsidR="0010366E" w:rsidRPr="00AA04D4" w:rsidRDefault="0010366E" w:rsidP="0010366E">
            <w:pPr>
              <w:rPr>
                <w:rFonts w:cs="Arial"/>
              </w:rPr>
            </w:pPr>
          </w:p>
        </w:tc>
        <w:tc>
          <w:tcPr>
            <w:tcW w:w="2578" w:type="dxa"/>
            <w:tcBorders>
              <w:top w:val="single" w:sz="4" w:space="0" w:color="auto"/>
              <w:left w:val="single" w:sz="4" w:space="0" w:color="auto"/>
              <w:bottom w:val="single" w:sz="4" w:space="0" w:color="auto"/>
              <w:right w:val="single" w:sz="4" w:space="0" w:color="auto"/>
            </w:tcBorders>
          </w:tcPr>
          <w:p w:rsidR="0010366E" w:rsidRPr="00AA04D4" w:rsidRDefault="0010366E" w:rsidP="0010366E">
            <w:pPr>
              <w:rPr>
                <w:rFonts w:cs="Arial"/>
              </w:rPr>
            </w:pPr>
          </w:p>
        </w:tc>
      </w:tr>
    </w:tbl>
    <w:p w:rsidR="0010366E" w:rsidRDefault="0010366E">
      <w:pPr>
        <w:rPr>
          <w:rFonts w:cs="Arial"/>
          <w:b/>
        </w:rPr>
      </w:pPr>
    </w:p>
    <w:p w:rsidR="0010366E" w:rsidRDefault="0010366E">
      <w:pPr>
        <w:rPr>
          <w:rFonts w:cs="Arial"/>
          <w:b/>
        </w:rPr>
      </w:pPr>
    </w:p>
    <w:p w:rsidR="0010366E" w:rsidRPr="00AA04D4" w:rsidRDefault="0010366E">
      <w:pPr>
        <w:rPr>
          <w:rFonts w:cs="Arial"/>
          <w:b/>
        </w:rPr>
      </w:pPr>
    </w:p>
    <w:sectPr w:rsidR="0010366E" w:rsidRPr="00AA04D4" w:rsidSect="0010366E">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6E" w:rsidRDefault="0010366E" w:rsidP="00C41974">
      <w:pPr>
        <w:spacing w:after="0" w:line="240" w:lineRule="auto"/>
      </w:pPr>
      <w:r>
        <w:separator/>
      </w:r>
    </w:p>
  </w:endnote>
  <w:endnote w:type="continuationSeparator" w:id="0">
    <w:p w:rsidR="0010366E" w:rsidRDefault="0010366E" w:rsidP="00C41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508342"/>
      <w:docPartObj>
        <w:docPartGallery w:val="Page Numbers (Bottom of Page)"/>
        <w:docPartUnique/>
      </w:docPartObj>
    </w:sdtPr>
    <w:sdtContent>
      <w:p w:rsidR="0010366E" w:rsidRDefault="008F1BFB">
        <w:pPr>
          <w:pStyle w:val="Footer"/>
          <w:jc w:val="right"/>
        </w:pPr>
        <w:fldSimple w:instr=" PAGE   \* MERGEFORMAT ">
          <w:r w:rsidR="00D94D19">
            <w:rPr>
              <w:noProof/>
            </w:rPr>
            <w:t>1</w:t>
          </w:r>
        </w:fldSimple>
      </w:p>
    </w:sdtContent>
  </w:sdt>
  <w:p w:rsidR="0010366E" w:rsidRDefault="003B0D7C">
    <w:pPr>
      <w:pStyle w:val="Footer"/>
    </w:pPr>
    <w:r>
      <w:t>Version 1.2</w:t>
    </w:r>
    <w:r w:rsidR="0010366E">
      <w:t xml:space="preserve">, </w:t>
    </w:r>
    <w:r>
      <w:t>October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6E" w:rsidRDefault="0010366E" w:rsidP="00C41974">
      <w:pPr>
        <w:spacing w:after="0" w:line="240" w:lineRule="auto"/>
      </w:pPr>
      <w:r>
        <w:separator/>
      </w:r>
    </w:p>
  </w:footnote>
  <w:footnote w:type="continuationSeparator" w:id="0">
    <w:p w:rsidR="0010366E" w:rsidRDefault="0010366E" w:rsidP="00C41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6E" w:rsidRDefault="0010366E" w:rsidP="00AE2FF4">
    <w:pPr>
      <w:pStyle w:val="Header"/>
      <w:jc w:val="right"/>
    </w:pPr>
    <w:r>
      <w:rPr>
        <w:b/>
        <w:noProof/>
        <w:sz w:val="10"/>
        <w:szCs w:val="10"/>
      </w:rPr>
      <w:drawing>
        <wp:anchor distT="0" distB="0" distL="114300" distR="114300" simplePos="0" relativeHeight="251659264" behindDoc="1" locked="0" layoutInCell="1" allowOverlap="1">
          <wp:simplePos x="0" y="0"/>
          <wp:positionH relativeFrom="column">
            <wp:posOffset>5427980</wp:posOffset>
          </wp:positionH>
          <wp:positionV relativeFrom="paragraph">
            <wp:posOffset>-5080</wp:posOffset>
          </wp:positionV>
          <wp:extent cx="647700" cy="419100"/>
          <wp:effectExtent l="0" t="0" r="0" b="0"/>
          <wp:wrapTight wrapText="bothSides">
            <wp:wrapPolygon edited="0">
              <wp:start x="0" y="0"/>
              <wp:lineTo x="0" y="20618"/>
              <wp:lineTo x="20965" y="20618"/>
              <wp:lineTo x="20965" y="0"/>
              <wp:lineTo x="0" y="0"/>
            </wp:wrapPolygon>
          </wp:wrapTight>
          <wp:docPr id="15" name="Picture 0" descr="NHS_Highland(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ighland(cmyk).jpg"/>
                  <pic:cNvPicPr/>
                </pic:nvPicPr>
                <pic:blipFill>
                  <a:blip r:embed="rId1" cstate="print"/>
                  <a:stretch>
                    <a:fillRect/>
                  </a:stretch>
                </pic:blipFill>
                <pic:spPr>
                  <a:xfrm>
                    <a:off x="0" y="0"/>
                    <a:ext cx="647700" cy="419100"/>
                  </a:xfrm>
                  <a:prstGeom prst="rect">
                    <a:avLst/>
                  </a:prstGeom>
                </pic:spPr>
              </pic:pic>
            </a:graphicData>
          </a:graphic>
        </wp:anchor>
      </w:drawing>
    </w:r>
  </w:p>
  <w:p w:rsidR="0010366E" w:rsidRDefault="0010366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
  <w:rsids>
    <w:rsidRoot w:val="00C41974"/>
    <w:rsid w:val="00037F77"/>
    <w:rsid w:val="000D1774"/>
    <w:rsid w:val="0010366E"/>
    <w:rsid w:val="0011569F"/>
    <w:rsid w:val="00141954"/>
    <w:rsid w:val="00147074"/>
    <w:rsid w:val="00187405"/>
    <w:rsid w:val="001A4B13"/>
    <w:rsid w:val="001F649F"/>
    <w:rsid w:val="00232B0F"/>
    <w:rsid w:val="00280D49"/>
    <w:rsid w:val="00281D46"/>
    <w:rsid w:val="00295556"/>
    <w:rsid w:val="002A1F21"/>
    <w:rsid w:val="003140A2"/>
    <w:rsid w:val="0032241E"/>
    <w:rsid w:val="00352773"/>
    <w:rsid w:val="00373653"/>
    <w:rsid w:val="003B0D7C"/>
    <w:rsid w:val="003C659E"/>
    <w:rsid w:val="00404EB4"/>
    <w:rsid w:val="004258C0"/>
    <w:rsid w:val="00455C7A"/>
    <w:rsid w:val="004B56D4"/>
    <w:rsid w:val="004F7B3C"/>
    <w:rsid w:val="0058052B"/>
    <w:rsid w:val="005B509C"/>
    <w:rsid w:val="005B75CD"/>
    <w:rsid w:val="005D2440"/>
    <w:rsid w:val="005D66D0"/>
    <w:rsid w:val="00694A31"/>
    <w:rsid w:val="00697116"/>
    <w:rsid w:val="006B6846"/>
    <w:rsid w:val="0071458A"/>
    <w:rsid w:val="007351EC"/>
    <w:rsid w:val="0079790E"/>
    <w:rsid w:val="008B6297"/>
    <w:rsid w:val="008C3CB1"/>
    <w:rsid w:val="008F1BFB"/>
    <w:rsid w:val="00903B79"/>
    <w:rsid w:val="00906560"/>
    <w:rsid w:val="0091255B"/>
    <w:rsid w:val="00972D9D"/>
    <w:rsid w:val="009B1684"/>
    <w:rsid w:val="009C67B0"/>
    <w:rsid w:val="00A50373"/>
    <w:rsid w:val="00AA04D4"/>
    <w:rsid w:val="00AA554C"/>
    <w:rsid w:val="00AC0CDE"/>
    <w:rsid w:val="00AE2FF4"/>
    <w:rsid w:val="00BB2CB7"/>
    <w:rsid w:val="00C20E1D"/>
    <w:rsid w:val="00C41974"/>
    <w:rsid w:val="00C5302A"/>
    <w:rsid w:val="00D00DD5"/>
    <w:rsid w:val="00D062E0"/>
    <w:rsid w:val="00D1462B"/>
    <w:rsid w:val="00D20004"/>
    <w:rsid w:val="00D94D19"/>
    <w:rsid w:val="00DB3A81"/>
    <w:rsid w:val="00DB63F5"/>
    <w:rsid w:val="00DD2DFB"/>
    <w:rsid w:val="00E055AA"/>
    <w:rsid w:val="00EA12A1"/>
    <w:rsid w:val="00EE0379"/>
    <w:rsid w:val="00FF78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974"/>
    <w:rPr>
      <w:rFonts w:ascii="Tahoma" w:hAnsi="Tahoma" w:cs="Tahoma"/>
      <w:sz w:val="16"/>
      <w:szCs w:val="16"/>
    </w:rPr>
  </w:style>
  <w:style w:type="paragraph" w:styleId="Header">
    <w:name w:val="header"/>
    <w:basedOn w:val="Normal"/>
    <w:link w:val="HeaderChar"/>
    <w:uiPriority w:val="99"/>
    <w:unhideWhenUsed/>
    <w:rsid w:val="00C4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974"/>
  </w:style>
  <w:style w:type="paragraph" w:styleId="Footer">
    <w:name w:val="footer"/>
    <w:basedOn w:val="Normal"/>
    <w:link w:val="FooterChar"/>
    <w:uiPriority w:val="99"/>
    <w:unhideWhenUsed/>
    <w:rsid w:val="00C4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9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974"/>
    <w:rPr>
      <w:rFonts w:ascii="Tahoma" w:hAnsi="Tahoma" w:cs="Tahoma"/>
      <w:sz w:val="16"/>
      <w:szCs w:val="16"/>
    </w:rPr>
  </w:style>
  <w:style w:type="paragraph" w:styleId="Header">
    <w:name w:val="header"/>
    <w:basedOn w:val="Normal"/>
    <w:link w:val="HeaderChar"/>
    <w:uiPriority w:val="99"/>
    <w:unhideWhenUsed/>
    <w:rsid w:val="00C4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974"/>
  </w:style>
  <w:style w:type="paragraph" w:styleId="Footer">
    <w:name w:val="footer"/>
    <w:basedOn w:val="Normal"/>
    <w:link w:val="FooterChar"/>
    <w:uiPriority w:val="99"/>
    <w:unhideWhenUsed/>
    <w:rsid w:val="00C4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9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BA5D3-AF27-4780-A8CF-FE55A38C2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jadam04</dc:creator>
  <cp:lastModifiedBy>jadam04</cp:lastModifiedBy>
  <cp:revision>3</cp:revision>
  <dcterms:created xsi:type="dcterms:W3CDTF">2019-11-26T15:26:00Z</dcterms:created>
  <dcterms:modified xsi:type="dcterms:W3CDTF">2019-12-20T13:12:00Z</dcterms:modified>
</cp:coreProperties>
</file>